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8385" w14:textId="51C573E0" w:rsidR="00514611" w:rsidRDefault="006B0AB2">
      <w:pPr>
        <w:pBdr>
          <w:top w:val="nil"/>
          <w:left w:val="nil"/>
          <w:bottom w:val="nil"/>
          <w:right w:val="nil"/>
          <w:between w:val="nil"/>
        </w:pBd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HERMES-</w:t>
      </w:r>
      <w:proofErr w:type="gramStart"/>
      <w:r>
        <w:rPr>
          <w:rFonts w:ascii="Times New Roman" w:eastAsia="Times New Roman" w:hAnsi="Times New Roman" w:cs="Times New Roman"/>
          <w:b/>
          <w:color w:val="000000"/>
          <w:sz w:val="28"/>
          <w:szCs w:val="28"/>
        </w:rPr>
        <w:t>ATC :</w:t>
      </w:r>
      <w:proofErr w:type="gramEnd"/>
      <w:r>
        <w:rPr>
          <w:rFonts w:ascii="Times New Roman" w:eastAsia="Times New Roman" w:hAnsi="Times New Roman" w:cs="Times New Roman"/>
          <w:b/>
          <w:color w:val="000000"/>
          <w:sz w:val="28"/>
          <w:szCs w:val="28"/>
        </w:rPr>
        <w:t xml:space="preserve"> Helicopter Emergency Remote Mesh-Enabled System </w:t>
      </w:r>
    </w:p>
    <w:p w14:paraId="1EB75199" w14:textId="2E5F2287" w:rsidR="00514611" w:rsidRDefault="006B0AB2">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Sanjay </w:t>
      </w:r>
      <w:proofErr w:type="gramStart"/>
      <w:r>
        <w:rPr>
          <w:rFonts w:ascii="Times New Roman" w:eastAsia="Times New Roman" w:hAnsi="Times New Roman" w:cs="Times New Roman"/>
          <w:color w:val="000000"/>
          <w:sz w:val="24"/>
          <w:szCs w:val="24"/>
        </w:rPr>
        <w:t>Bhandari ,</w:t>
      </w:r>
      <w:proofErr w:type="gramEnd"/>
      <w:r>
        <w:rPr>
          <w:rFonts w:ascii="Times New Roman" w:eastAsia="Times New Roman" w:hAnsi="Times New Roman" w:cs="Times New Roman"/>
          <w:color w:val="000000"/>
          <w:sz w:val="24"/>
          <w:szCs w:val="24"/>
        </w:rPr>
        <w:t xml:space="preserve"> Ayushree Joshi</w:t>
      </w:r>
    </w:p>
    <w:p w14:paraId="79C20A9C" w14:textId="581D7109" w:rsidR="00514611" w:rsidRDefault="006B0AB2">
      <w:pPr>
        <w:pBdr>
          <w:top w:val="nil"/>
          <w:left w:val="nil"/>
          <w:bottom w:val="nil"/>
          <w:right w:val="nil"/>
          <w:between w:val="nil"/>
        </w:pBdr>
        <w:spacing w:after="0" w:line="276" w:lineRule="auto"/>
        <w:jc w:val="center"/>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GoldenGate</w:t>
      </w:r>
      <w:proofErr w:type="spellEnd"/>
      <w:r>
        <w:rPr>
          <w:rFonts w:ascii="Times New Roman" w:eastAsia="Times New Roman" w:hAnsi="Times New Roman" w:cs="Times New Roman"/>
          <w:i/>
          <w:color w:val="000000"/>
          <w:sz w:val="20"/>
          <w:szCs w:val="20"/>
        </w:rPr>
        <w:t xml:space="preserve"> International College</w:t>
      </w:r>
    </w:p>
    <w:p w14:paraId="241DED12" w14:textId="75CD9B69" w:rsidR="00514611" w:rsidRDefault="006B0AB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sanjaybhandari@ggsrclub.com </w:t>
      </w:r>
    </w:p>
    <w:p w14:paraId="2B1CA2AF" w14:textId="77777777" w:rsidR="00514611" w:rsidRDefault="00367DD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YSS-2025</w:t>
      </w:r>
    </w:p>
    <w:p w14:paraId="0499D092" w14:textId="1681B93C" w:rsidR="00514611" w:rsidRDefault="006B0AB2">
      <w:pPr>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PSMER</w:t>
      </w:r>
    </w:p>
    <w:p w14:paraId="1BE31EF9" w14:textId="77777777" w:rsidR="00514611" w:rsidRDefault="00367DD2">
      <w:pPr>
        <w:numPr>
          <w:ilvl w:val="0"/>
          <w:numId w:val="1"/>
        </w:numPr>
        <w:pBdr>
          <w:top w:val="nil"/>
          <w:left w:val="nil"/>
          <w:bottom w:val="nil"/>
          <w:right w:val="nil"/>
          <w:between w:val="nil"/>
        </w:pBdr>
        <w:spacing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(Title Times New Roman, 12 font size, bold) </w:t>
      </w:r>
    </w:p>
    <w:p w14:paraId="273065CB" w14:textId="632F33B5" w:rsidR="001A55DA" w:rsidRPr="00234A30" w:rsidRDefault="001A55DA" w:rsidP="001A55DA">
      <w:pPr>
        <w:pStyle w:val="NormalWeb"/>
        <w:rPr>
          <w:sz w:val="22"/>
          <w:szCs w:val="22"/>
        </w:rPr>
      </w:pPr>
      <w:r w:rsidRPr="00234A30">
        <w:rPr>
          <w:sz w:val="22"/>
          <w:szCs w:val="22"/>
        </w:rPr>
        <w:t xml:space="preserve">Rotorcraft operations in geographically challenging regions, such as the mountainous terrain of Nepal, face significant safety risks due to the lack of traditional Air Traffic Management (ATM) and Instrument Landing System (ILS) infrastructure. This infrastructure gap necessitates the development of novel, reliable, and low-cost solutions. The primary objective of the HERMES-ATC project is to design and validate an </w:t>
      </w:r>
      <w:r w:rsidRPr="00234A30">
        <w:rPr>
          <w:rStyle w:val="Strong"/>
          <w:sz w:val="22"/>
          <w:szCs w:val="22"/>
        </w:rPr>
        <w:t>Autonomous Air Traffic Management Framework</w:t>
      </w:r>
      <w:r w:rsidRPr="00234A30">
        <w:rPr>
          <w:sz w:val="22"/>
          <w:szCs w:val="22"/>
        </w:rPr>
        <w:t xml:space="preserve"> that provides reliable, localized guidance equivalent to an ILS for rotorcraft operating in complex, off-grid environments. This work distinguishes itself from similar projects by focusing specifically on the environmental and logistical constraints of high-altitude, monsoon-prone regions, integrating sophisticated environmental resilience protocols and sensor fusion techniques.</w:t>
      </w:r>
    </w:p>
    <w:p w14:paraId="5F43109B" w14:textId="77777777" w:rsidR="00514611" w:rsidRDefault="00367DD2">
      <w:pPr>
        <w:numPr>
          <w:ilvl w:val="0"/>
          <w:numId w:val="1"/>
        </w:numPr>
        <w:pBdr>
          <w:top w:val="nil"/>
          <w:left w:val="nil"/>
          <w:bottom w:val="nil"/>
          <w:right w:val="nil"/>
          <w:between w:val="nil"/>
        </w:pBdr>
        <w:spacing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MATERIALS AND METHODS</w:t>
      </w:r>
    </w:p>
    <w:p w14:paraId="7E872A2D" w14:textId="77777777" w:rsidR="005438DA" w:rsidRDefault="005438DA" w:rsidP="005438DA">
      <w:pPr>
        <w:pStyle w:val="NormalWeb"/>
        <w:rPr>
          <w:sz w:val="22"/>
          <w:szCs w:val="22"/>
        </w:rPr>
      </w:pPr>
      <w:r>
        <w:rPr>
          <w:sz w:val="22"/>
          <w:szCs w:val="22"/>
        </w:rPr>
        <w:t xml:space="preserve">                                                    </w:t>
      </w:r>
      <w:r>
        <w:rPr>
          <w:sz w:val="22"/>
          <w:szCs w:val="22"/>
        </w:rPr>
        <w:tab/>
      </w:r>
      <w:r>
        <w:rPr>
          <w:sz w:val="22"/>
          <w:szCs w:val="22"/>
        </w:rPr>
        <w:tab/>
      </w:r>
      <w:r>
        <w:rPr>
          <w:noProof/>
          <w:sz w:val="22"/>
          <w:szCs w:val="22"/>
        </w:rPr>
        <w:drawing>
          <wp:inline distT="0" distB="0" distL="0" distR="0" wp14:anchorId="011BDFDF" wp14:editId="5C5C0F0B">
            <wp:extent cx="1480457" cy="1480457"/>
            <wp:effectExtent l="0" t="0" r="0" b="0"/>
            <wp:docPr id="76921963" name="Picture 3"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1963" name="Picture 3" descr="A screenshot of a video gam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355" cy="1489355"/>
                    </a:xfrm>
                    <a:prstGeom prst="rect">
                      <a:avLst/>
                    </a:prstGeom>
                  </pic:spPr>
                </pic:pic>
              </a:graphicData>
            </a:graphic>
          </wp:inline>
        </w:drawing>
      </w:r>
      <w:r>
        <w:rPr>
          <w:sz w:val="22"/>
          <w:szCs w:val="22"/>
        </w:rPr>
        <w:tab/>
      </w:r>
      <w:r>
        <w:rPr>
          <w:sz w:val="22"/>
          <w:szCs w:val="22"/>
        </w:rPr>
        <w:tab/>
      </w:r>
      <w:r>
        <w:rPr>
          <w:sz w:val="22"/>
          <w:szCs w:val="22"/>
        </w:rPr>
        <w:tab/>
      </w:r>
      <w:r>
        <w:rPr>
          <w:sz w:val="22"/>
          <w:szCs w:val="22"/>
        </w:rPr>
        <w:tab/>
      </w:r>
    </w:p>
    <w:p w14:paraId="72DE38DD" w14:textId="27804296" w:rsidR="001A55DA" w:rsidRPr="00234A30" w:rsidRDefault="001A55DA" w:rsidP="005438DA">
      <w:pPr>
        <w:pStyle w:val="NormalWeb"/>
        <w:rPr>
          <w:sz w:val="22"/>
          <w:szCs w:val="22"/>
        </w:rPr>
      </w:pPr>
      <w:r w:rsidRPr="00234A30">
        <w:rPr>
          <w:sz w:val="22"/>
          <w:szCs w:val="22"/>
        </w:rPr>
        <w:t xml:space="preserve">The HERMES-ATC framework employs a distributed sensing network topology comprising </w:t>
      </w:r>
      <w:r w:rsidRPr="00234A30">
        <w:rPr>
          <w:rStyle w:val="Strong"/>
          <w:sz w:val="22"/>
          <w:szCs w:val="22"/>
        </w:rPr>
        <w:t>Autonomous Field Nodes (AFNs)</w:t>
      </w:r>
      <w:r w:rsidRPr="00234A30">
        <w:rPr>
          <w:sz w:val="22"/>
          <w:szCs w:val="22"/>
        </w:rPr>
        <w:t xml:space="preserve"> and a central </w:t>
      </w:r>
      <w:r w:rsidRPr="00234A30">
        <w:rPr>
          <w:rStyle w:val="Strong"/>
          <w:sz w:val="22"/>
          <w:szCs w:val="22"/>
        </w:rPr>
        <w:t>Supervisory and Data Analytics Node (Supervisory Node)</w:t>
      </w:r>
      <w:r w:rsidRPr="00234A30">
        <w:rPr>
          <w:sz w:val="22"/>
          <w:szCs w:val="22"/>
        </w:rPr>
        <w:t>.</w:t>
      </w:r>
    </w:p>
    <w:p w14:paraId="089DDA61" w14:textId="77777777" w:rsidR="001A55DA" w:rsidRDefault="00367DD2" w:rsidP="001A55DA">
      <w:pPr>
        <w:pStyle w:val="NormalWeb"/>
        <w:rPr>
          <w:sz w:val="22"/>
          <w:szCs w:val="22"/>
        </w:rPr>
      </w:pPr>
      <w:r>
        <w:t xml:space="preserve">2.1. </w:t>
      </w:r>
      <w:r w:rsidR="001A55DA" w:rsidRPr="001A55DA">
        <w:rPr>
          <w:b/>
          <w:bCs/>
          <w:sz w:val="22"/>
          <w:szCs w:val="22"/>
        </w:rPr>
        <w:t>Autonomous Field Node Design and Sensor Subsystem</w:t>
      </w:r>
      <w:r w:rsidR="001A55DA" w:rsidRPr="001A55DA">
        <w:rPr>
          <w:sz w:val="22"/>
          <w:szCs w:val="22"/>
        </w:rPr>
        <w:t xml:space="preserve"> </w:t>
      </w:r>
    </w:p>
    <w:p w14:paraId="0BC88A62" w14:textId="3E16B801" w:rsidR="001A55DA" w:rsidRPr="001A55DA" w:rsidRDefault="001A55DA" w:rsidP="001A55DA">
      <w:pPr>
        <w:pStyle w:val="NormalWeb"/>
        <w:rPr>
          <w:sz w:val="22"/>
          <w:szCs w:val="22"/>
        </w:rPr>
      </w:pPr>
      <w:r w:rsidRPr="001A55DA">
        <w:rPr>
          <w:sz w:val="22"/>
          <w:szCs w:val="22"/>
        </w:rPr>
        <w:t xml:space="preserve">The AFN constitutes the primary distributed sensor array. Its core includes a high-sensitivity </w:t>
      </w:r>
      <w:r w:rsidRPr="001A55DA">
        <w:rPr>
          <w:b/>
          <w:bCs/>
          <w:sz w:val="22"/>
          <w:szCs w:val="22"/>
        </w:rPr>
        <w:t>BME280</w:t>
      </w:r>
      <w:r w:rsidRPr="001A55DA">
        <w:rPr>
          <w:sz w:val="22"/>
          <w:szCs w:val="22"/>
        </w:rPr>
        <w:t xml:space="preserve"> sensor for barometric altitude and pressure readings, a </w:t>
      </w:r>
      <w:r w:rsidRPr="001A55DA">
        <w:rPr>
          <w:b/>
          <w:bCs/>
          <w:sz w:val="22"/>
          <w:szCs w:val="22"/>
        </w:rPr>
        <w:t>DHT11 sensor</w:t>
      </w:r>
      <w:r w:rsidRPr="001A55DA">
        <w:rPr>
          <w:sz w:val="22"/>
          <w:szCs w:val="22"/>
        </w:rPr>
        <w:t xml:space="preserve"> for ambient temperature and humidity monitoring, and a </w:t>
      </w:r>
      <w:r w:rsidRPr="001A55DA">
        <w:rPr>
          <w:b/>
          <w:bCs/>
          <w:sz w:val="22"/>
          <w:szCs w:val="22"/>
        </w:rPr>
        <w:t>light intensity sensor</w:t>
      </w:r>
      <w:r w:rsidRPr="001A55DA">
        <w:rPr>
          <w:sz w:val="22"/>
          <w:szCs w:val="22"/>
        </w:rPr>
        <w:t xml:space="preserve"> (LDR) for visibility assessment. For localized environmental and positional awareness, the AFN integrates an </w:t>
      </w:r>
      <w:r w:rsidRPr="001A55DA">
        <w:rPr>
          <w:b/>
          <w:bCs/>
          <w:sz w:val="22"/>
          <w:szCs w:val="22"/>
        </w:rPr>
        <w:t>ultrasonic sensor</w:t>
      </w:r>
      <w:r w:rsidRPr="001A55DA">
        <w:rPr>
          <w:sz w:val="22"/>
          <w:szCs w:val="22"/>
        </w:rPr>
        <w:t xml:space="preserve"> for short-range distance measurements, a </w:t>
      </w:r>
      <w:r w:rsidRPr="001A55DA">
        <w:rPr>
          <w:b/>
          <w:bCs/>
          <w:sz w:val="22"/>
          <w:szCs w:val="22"/>
        </w:rPr>
        <w:t>GPS module</w:t>
      </w:r>
      <w:r w:rsidRPr="001A55DA">
        <w:rPr>
          <w:sz w:val="22"/>
          <w:szCs w:val="22"/>
        </w:rPr>
        <w:t xml:space="preserve"> for absolute location and synchronization, and a </w:t>
      </w:r>
      <w:r w:rsidRPr="001A55DA">
        <w:rPr>
          <w:b/>
          <w:bCs/>
          <w:sz w:val="22"/>
          <w:szCs w:val="22"/>
        </w:rPr>
        <w:t>gyroscope</w:t>
      </w:r>
      <w:r w:rsidRPr="001A55DA">
        <w:rPr>
          <w:sz w:val="22"/>
          <w:szCs w:val="22"/>
        </w:rPr>
        <w:t xml:space="preserve"> for orientation and stability monitoring. These sensors are interfaced with a low-power microcontroller for preliminary data processing and fusion.</w:t>
      </w:r>
    </w:p>
    <w:p w14:paraId="31DA0A3F" w14:textId="77777777" w:rsidR="001A55DA" w:rsidRPr="001A55DA" w:rsidRDefault="001A55DA" w:rsidP="001A55DA">
      <w:pPr>
        <w:spacing w:line="276" w:lineRule="auto"/>
        <w:jc w:val="both"/>
        <w:rPr>
          <w:lang w:val="en-US"/>
        </w:rPr>
      </w:pPr>
      <w:r w:rsidRPr="001A55DA">
        <w:rPr>
          <w:lang w:val="en-US"/>
        </w:rPr>
        <w:t>2.2. Communication Subsystem and Protocol</w:t>
      </w:r>
    </w:p>
    <w:p w14:paraId="6405BB20" w14:textId="3CF4DA13" w:rsidR="001A55DA" w:rsidRPr="00234A30" w:rsidRDefault="001A55DA" w:rsidP="001A55DA">
      <w:pPr>
        <w:spacing w:line="276" w:lineRule="auto"/>
        <w:jc w:val="both"/>
        <w:rPr>
          <w:rFonts w:ascii="Times New Roman" w:hAnsi="Times New Roman" w:cs="Times New Roman"/>
          <w:lang w:val="en-US"/>
        </w:rPr>
      </w:pPr>
      <w:r w:rsidRPr="00234A30">
        <w:rPr>
          <w:rFonts w:ascii="Times New Roman" w:hAnsi="Times New Roman" w:cs="Times New Roman"/>
          <w:lang w:val="en-US"/>
        </w:rPr>
        <w:t xml:space="preserve">Communication is handled by the nRF24L01+ Transceiver operating in the 2.4 GHz Industrial, Scientific, and Medical (ISM) band, utilizing custom mesh networking protocols optimized for low-power, wide-area communication. The system's integrity relies on a Decentralized Extended Kalman Filter (EKF) implemented on the AFNs to fuse sensor data from all sources (GPS, BME280, </w:t>
      </w:r>
      <w:r w:rsidRPr="00234A30">
        <w:rPr>
          <w:rFonts w:ascii="Times New Roman" w:hAnsi="Times New Roman" w:cs="Times New Roman"/>
          <w:lang w:val="en-US"/>
        </w:rPr>
        <w:lastRenderedPageBreak/>
        <w:t>Gyroscope), providing robust and accurate state estimation (position and altitude). A critical aspect of the communication protocol is the Link Quality Indicator (LQI) metric, which actively monitors the link reliability and ensures data continuity by informing the system's adaptive routing and frequency switching logic.</w:t>
      </w:r>
    </w:p>
    <w:p w14:paraId="53E4C605" w14:textId="152238BA" w:rsidR="00514611" w:rsidRDefault="00234A30" w:rsidP="001A55DA">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ab/>
      </w:r>
      <w:r w:rsidR="00367DD2">
        <w:rPr>
          <w:rFonts w:ascii="Times New Roman" w:eastAsia="Times New Roman" w:hAnsi="Times New Roman" w:cs="Times New Roman"/>
          <w:b/>
          <w:color w:val="000000"/>
          <w:sz w:val="24"/>
          <w:szCs w:val="24"/>
        </w:rPr>
        <w:t xml:space="preserve">RESULTS AND DISCUSSION </w:t>
      </w:r>
    </w:p>
    <w:p w14:paraId="3BFA828C" w14:textId="77777777" w:rsidR="00230448" w:rsidRPr="00230448" w:rsidRDefault="00230448" w:rsidP="00230448">
      <w:pPr>
        <w:spacing w:line="276" w:lineRule="auto"/>
        <w:rPr>
          <w:rFonts w:ascii="Times New Roman" w:eastAsia="Times New Roman" w:hAnsi="Times New Roman" w:cs="Times New Roman"/>
        </w:rPr>
      </w:pPr>
      <w:r w:rsidRPr="00230448">
        <w:rPr>
          <w:rFonts w:ascii="Times New Roman" w:eastAsia="Times New Roman" w:hAnsi="Times New Roman" w:cs="Times New Roman"/>
        </w:rPr>
        <w:t>The implemented framework successfully demonstrates resilience against key environmental challenges characteristic of terrain-challenged operations.</w:t>
      </w:r>
    </w:p>
    <w:p w14:paraId="0157B470" w14:textId="77777777" w:rsidR="00230448" w:rsidRPr="00230448" w:rsidRDefault="00230448" w:rsidP="00230448">
      <w:pPr>
        <w:spacing w:line="276" w:lineRule="auto"/>
        <w:rPr>
          <w:rFonts w:ascii="Times New Roman" w:eastAsia="Times New Roman" w:hAnsi="Times New Roman" w:cs="Times New Roman"/>
        </w:rPr>
      </w:pPr>
      <w:r w:rsidRPr="00230448">
        <w:rPr>
          <w:rFonts w:ascii="Times New Roman" w:eastAsia="Times New Roman" w:hAnsi="Times New Roman" w:cs="Times New Roman"/>
        </w:rPr>
        <w:t>3.1. System Guidance and Path Resilience</w:t>
      </w:r>
    </w:p>
    <w:p w14:paraId="1CB1EE2D" w14:textId="77777777" w:rsidR="00230448" w:rsidRPr="00230448" w:rsidRDefault="00230448" w:rsidP="00230448">
      <w:pPr>
        <w:spacing w:line="276" w:lineRule="auto"/>
        <w:rPr>
          <w:rFonts w:ascii="Times New Roman" w:eastAsia="Times New Roman" w:hAnsi="Times New Roman" w:cs="Times New Roman"/>
        </w:rPr>
      </w:pPr>
      <w:r w:rsidRPr="00230448">
        <w:rPr>
          <w:rFonts w:ascii="Times New Roman" w:eastAsia="Times New Roman" w:hAnsi="Times New Roman" w:cs="Times New Roman"/>
        </w:rPr>
        <w:t>During simulation and preliminary testing, the system exhibited perfect performance in guiding the Node 0 (representing the helicopter) from the designated base station to the intended landing site with high accuracy. The framework’s resilience was critically demonstrated when a simulated adverse condition (heavy rain/fog) was introduced at Node C, rendering it unreliable. The autonomous routing logic successfully recalculated the path, instructing the helicopter to divert from Node A to Node D via an alternate, safer route, ensuring the continuous safety and navigation of the rotorcraft without human intervention.</w:t>
      </w:r>
    </w:p>
    <w:p w14:paraId="4EC1F4E8" w14:textId="77777777" w:rsidR="00230448" w:rsidRPr="00230448" w:rsidRDefault="00230448" w:rsidP="00230448">
      <w:pPr>
        <w:spacing w:line="276" w:lineRule="auto"/>
        <w:rPr>
          <w:rFonts w:ascii="Times New Roman" w:eastAsia="Times New Roman" w:hAnsi="Times New Roman" w:cs="Times New Roman"/>
        </w:rPr>
      </w:pPr>
      <w:r w:rsidRPr="00230448">
        <w:rPr>
          <w:rFonts w:ascii="Times New Roman" w:eastAsia="Times New Roman" w:hAnsi="Times New Roman" w:cs="Times New Roman"/>
        </w:rPr>
        <w:t>3.2. Data Transfer Performance and Sensor Limitations</w:t>
      </w:r>
    </w:p>
    <w:p w14:paraId="229C0EF8" w14:textId="5365E4AE" w:rsidR="00514611" w:rsidRDefault="00230448" w:rsidP="00234A30">
      <w:pPr>
        <w:spacing w:line="276" w:lineRule="auto"/>
        <w:rPr>
          <w:rFonts w:ascii="Times New Roman" w:eastAsia="Times New Roman" w:hAnsi="Times New Roman" w:cs="Times New Roman"/>
        </w:rPr>
      </w:pPr>
      <w:r w:rsidRPr="00230448">
        <w:rPr>
          <w:rFonts w:ascii="Times New Roman" w:eastAsia="Times New Roman" w:hAnsi="Times New Roman" w:cs="Times New Roman"/>
        </w:rPr>
        <w:t>The communication subsystem successfully transferred environmental, positional, and guidance data across the network with high accuracy and minimal measurable delay, validating the low-latency nature of the mesh protocol. While the system provided essential information about the operational base and environment, the raw sensor data (particularly from the BME280 and DHT11) showed inherent reliability limitations typical of low-cost components. For a full-scale, real-world implementation requiring certified precision for air safety, the current sensor array must be upgraded to industrial-grade, highly reliable modules to ensure consistent operational accuracy.</w:t>
      </w:r>
    </w:p>
    <w:p w14:paraId="132FF94E" w14:textId="77777777" w:rsidR="00234A30" w:rsidRPr="00230448" w:rsidRDefault="00234A30" w:rsidP="00234A30">
      <w:pPr>
        <w:spacing w:line="276" w:lineRule="auto"/>
        <w:rPr>
          <w:rFonts w:ascii="Times New Roman" w:eastAsia="Times New Roman" w:hAnsi="Times New Roman" w:cs="Times New Roman"/>
        </w:rPr>
      </w:pPr>
    </w:p>
    <w:p w14:paraId="57F6F8AA" w14:textId="127AF39E" w:rsidR="00514611" w:rsidRPr="00234A30" w:rsidRDefault="00234A30" w:rsidP="00234A30">
      <w:p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4.</w:t>
      </w:r>
      <w:r w:rsidR="00367DD2" w:rsidRPr="00234A30">
        <w:rPr>
          <w:rFonts w:ascii="Times New Roman" w:eastAsia="Times New Roman" w:hAnsi="Times New Roman" w:cs="Times New Roman"/>
          <w:b/>
          <w:color w:val="000000"/>
        </w:rPr>
        <w:t xml:space="preserve">CONCLUSION </w:t>
      </w:r>
    </w:p>
    <w:p w14:paraId="52A246E1" w14:textId="77777777" w:rsidR="007677FF" w:rsidRPr="007677FF" w:rsidRDefault="007677FF" w:rsidP="007677FF">
      <w:pPr>
        <w:pBdr>
          <w:top w:val="nil"/>
          <w:left w:val="nil"/>
          <w:bottom w:val="nil"/>
          <w:right w:val="nil"/>
          <w:between w:val="nil"/>
        </w:pBdr>
        <w:spacing w:line="276" w:lineRule="auto"/>
        <w:jc w:val="both"/>
        <w:rPr>
          <w:rFonts w:ascii="Times New Roman" w:eastAsia="Times New Roman" w:hAnsi="Times New Roman" w:cs="Times New Roman"/>
          <w:bCs/>
          <w:color w:val="000000"/>
        </w:rPr>
      </w:pPr>
      <w:r w:rsidRPr="007677FF">
        <w:rPr>
          <w:rFonts w:ascii="Times New Roman" w:eastAsia="Times New Roman" w:hAnsi="Times New Roman" w:cs="Times New Roman"/>
          <w:bCs/>
          <w:color w:val="000000"/>
        </w:rPr>
        <w:t>The HERMES-ATC project demonstrates a resilient autonomous Air Traffic Management system for rotorcraft in challenging terrain. It integrates EKF-based state estimation with an adaptive multi-band communication framework to maintain accuracy even in harsh conditions such as low air density and heavy rainfall. Future efforts include full-scale field validation, CAAN regulatory certification, and integration with national ATM platforms to enhance safety coverage.</w:t>
      </w:r>
    </w:p>
    <w:p w14:paraId="172EB513" w14:textId="7691160A" w:rsidR="00514611" w:rsidRDefault="00234A30" w:rsidP="007677FF">
      <w:p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5</w:t>
      </w:r>
      <w:r w:rsidR="007677FF">
        <w:rPr>
          <w:rFonts w:ascii="Times New Roman" w:eastAsia="Times New Roman" w:hAnsi="Times New Roman" w:cs="Times New Roman"/>
          <w:b/>
          <w:color w:val="000000"/>
        </w:rPr>
        <w:t>.</w:t>
      </w:r>
      <w:r w:rsidR="00367DD2">
        <w:rPr>
          <w:rFonts w:ascii="Times New Roman" w:eastAsia="Times New Roman" w:hAnsi="Times New Roman" w:cs="Times New Roman"/>
          <w:b/>
          <w:color w:val="000000"/>
        </w:rPr>
        <w:t>ACKNOWLEDGEMENT</w:t>
      </w:r>
    </w:p>
    <w:p w14:paraId="1C5E2CE3" w14:textId="14D3F59B" w:rsidR="007677FF" w:rsidRPr="007677FF" w:rsidRDefault="007677FF" w:rsidP="007677FF">
      <w:pPr>
        <w:pBdr>
          <w:top w:val="nil"/>
          <w:left w:val="nil"/>
          <w:bottom w:val="nil"/>
          <w:right w:val="nil"/>
          <w:between w:val="nil"/>
        </w:pBdr>
        <w:spacing w:line="276" w:lineRule="auto"/>
        <w:jc w:val="both"/>
        <w:rPr>
          <w:rFonts w:ascii="Times New Roman" w:eastAsia="Times New Roman" w:hAnsi="Times New Roman" w:cs="Times New Roman"/>
          <w:bCs/>
          <w:color w:val="000000"/>
          <w:lang w:val="en-US"/>
        </w:rPr>
      </w:pPr>
      <w:r w:rsidRPr="007677FF">
        <w:rPr>
          <w:rFonts w:ascii="Times New Roman" w:eastAsia="Times New Roman" w:hAnsi="Times New Roman" w:cs="Times New Roman"/>
          <w:bCs/>
          <w:color w:val="000000"/>
          <w:lang w:val="en-US"/>
        </w:rPr>
        <w:t xml:space="preserve">This research was made possible through the generous support and </w:t>
      </w:r>
      <w:proofErr w:type="gramStart"/>
      <w:r w:rsidRPr="007677FF">
        <w:rPr>
          <w:rFonts w:ascii="Times New Roman" w:eastAsia="Times New Roman" w:hAnsi="Times New Roman" w:cs="Times New Roman"/>
          <w:bCs/>
          <w:color w:val="000000"/>
          <w:lang w:val="en-US"/>
        </w:rPr>
        <w:t>re grant</w:t>
      </w:r>
      <w:proofErr w:type="gramEnd"/>
      <w:r w:rsidRPr="007677FF">
        <w:rPr>
          <w:rFonts w:ascii="Times New Roman" w:eastAsia="Times New Roman" w:hAnsi="Times New Roman" w:cs="Times New Roman"/>
          <w:bCs/>
          <w:color w:val="000000"/>
          <w:lang w:val="en-US"/>
        </w:rPr>
        <w:t xml:space="preserve"> provided by the </w:t>
      </w:r>
      <w:proofErr w:type="spellStart"/>
      <w:r w:rsidRPr="007677FF">
        <w:rPr>
          <w:rFonts w:ascii="Times New Roman" w:eastAsia="Times New Roman" w:hAnsi="Times New Roman" w:cs="Times New Roman"/>
          <w:bCs/>
          <w:color w:val="000000"/>
          <w:lang w:val="en-US"/>
        </w:rPr>
        <w:t>GoldenGate</w:t>
      </w:r>
      <w:proofErr w:type="spellEnd"/>
      <w:r w:rsidRPr="007677FF">
        <w:rPr>
          <w:rFonts w:ascii="Times New Roman" w:eastAsia="Times New Roman" w:hAnsi="Times New Roman" w:cs="Times New Roman"/>
          <w:bCs/>
          <w:color w:val="000000"/>
          <w:lang w:val="en-US"/>
        </w:rPr>
        <w:t xml:space="preserve"> </w:t>
      </w:r>
      <w:r>
        <w:rPr>
          <w:rFonts w:ascii="Times New Roman" w:eastAsia="Times New Roman" w:hAnsi="Times New Roman" w:cs="Times New Roman"/>
          <w:bCs/>
          <w:color w:val="000000"/>
          <w:lang w:val="en-US"/>
        </w:rPr>
        <w:t xml:space="preserve">Science and Robotics </w:t>
      </w:r>
      <w:proofErr w:type="gramStart"/>
      <w:r>
        <w:rPr>
          <w:rFonts w:ascii="Times New Roman" w:eastAsia="Times New Roman" w:hAnsi="Times New Roman" w:cs="Times New Roman"/>
          <w:bCs/>
          <w:color w:val="000000"/>
          <w:lang w:val="en-US"/>
        </w:rPr>
        <w:t>Club .</w:t>
      </w:r>
      <w:proofErr w:type="gramEnd"/>
      <w:r>
        <w:rPr>
          <w:rFonts w:ascii="Times New Roman" w:eastAsia="Times New Roman" w:hAnsi="Times New Roman" w:cs="Times New Roman"/>
          <w:bCs/>
          <w:color w:val="000000"/>
          <w:lang w:val="en-US"/>
        </w:rPr>
        <w:t xml:space="preserve"> </w:t>
      </w:r>
    </w:p>
    <w:p w14:paraId="7AEA1BFB" w14:textId="0AB90D3E" w:rsidR="00514611" w:rsidRDefault="00A073B6" w:rsidP="00234A30">
      <w:pPr>
        <w:pBdr>
          <w:top w:val="nil"/>
          <w:left w:val="nil"/>
          <w:bottom w:val="nil"/>
          <w:right w:val="nil"/>
          <w:between w:val="nil"/>
        </w:pBdr>
        <w:spacing w:after="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6</w:t>
      </w:r>
      <w:r w:rsidR="00234A30">
        <w:rPr>
          <w:rFonts w:ascii="Times New Roman" w:eastAsia="Times New Roman" w:hAnsi="Times New Roman" w:cs="Times New Roman"/>
          <w:b/>
          <w:color w:val="000000"/>
        </w:rPr>
        <w:t>.</w:t>
      </w:r>
      <w:r w:rsidR="00367DD2">
        <w:rPr>
          <w:rFonts w:ascii="Times New Roman" w:eastAsia="Times New Roman" w:hAnsi="Times New Roman" w:cs="Times New Roman"/>
          <w:b/>
          <w:color w:val="000000"/>
        </w:rPr>
        <w:t>REFERENCES</w:t>
      </w:r>
    </w:p>
    <w:p w14:paraId="1AA40E0D" w14:textId="77777777" w:rsidR="005438DA" w:rsidRDefault="005438DA" w:rsidP="005438DA">
      <w:pPr>
        <w:pStyle w:val="NoSpacing"/>
        <w:numPr>
          <w:ilvl w:val="0"/>
          <w:numId w:val="4"/>
        </w:numPr>
        <w:rPr>
          <w:lang w:val="en-US"/>
        </w:rPr>
      </w:pPr>
      <w:r w:rsidRPr="005438DA">
        <w:rPr>
          <w:lang w:val="en-US"/>
        </w:rPr>
        <w:t xml:space="preserve">Sharma B. Senior Pilot at </w:t>
      </w:r>
      <w:proofErr w:type="spellStart"/>
      <w:r w:rsidRPr="005438DA">
        <w:rPr>
          <w:lang w:val="en-US"/>
        </w:rPr>
        <w:t>Simrik</w:t>
      </w:r>
      <w:proofErr w:type="spellEnd"/>
      <w:r w:rsidRPr="005438DA">
        <w:rPr>
          <w:lang w:val="en-US"/>
        </w:rPr>
        <w:t xml:space="preserve"> Air Pvt Ltd. Personal communication. 2025.</w:t>
      </w:r>
    </w:p>
    <w:p w14:paraId="54696F22" w14:textId="435E7B11" w:rsidR="005438DA" w:rsidRPr="005438DA" w:rsidRDefault="005438DA" w:rsidP="005438DA">
      <w:pPr>
        <w:pStyle w:val="NoSpacing"/>
        <w:numPr>
          <w:ilvl w:val="0"/>
          <w:numId w:val="4"/>
        </w:numPr>
        <w:rPr>
          <w:lang w:val="en-US"/>
        </w:rPr>
      </w:pPr>
      <w:r w:rsidRPr="005438DA">
        <w:rPr>
          <w:lang w:val="en-US"/>
        </w:rPr>
        <w:t>Federal</w:t>
      </w:r>
      <w:r w:rsidRPr="005438DA">
        <w:rPr>
          <w:lang w:val="en-US"/>
        </w:rPr>
        <w:t xml:space="preserve"> </w:t>
      </w:r>
      <w:r w:rsidRPr="005438DA">
        <w:rPr>
          <w:lang w:val="en-US"/>
        </w:rPr>
        <w:t xml:space="preserve">Aviation Administration. Radio </w:t>
      </w:r>
      <w:r w:rsidRPr="005438DA">
        <w:rPr>
          <w:lang w:val="en-US"/>
        </w:rPr>
        <w:t>Communications from</w:t>
      </w:r>
      <w:r w:rsidRPr="005438DA">
        <w:rPr>
          <w:lang w:val="en-US"/>
        </w:rPr>
        <w:t>: https://www.faa.gov/air_traffic/publications/atpubs/aim_html/chap4_section_2.html</w:t>
      </w:r>
    </w:p>
    <w:p w14:paraId="024070E3" w14:textId="12CE6CF3" w:rsidR="00514611" w:rsidRPr="00A073B6" w:rsidRDefault="00A073B6" w:rsidP="00A073B6">
      <w:pPr>
        <w:pStyle w:val="NoSpacing"/>
        <w:numPr>
          <w:ilvl w:val="0"/>
          <w:numId w:val="4"/>
        </w:numPr>
        <w:rPr>
          <w:lang w:val="en-US"/>
        </w:rPr>
      </w:pPr>
      <w:r w:rsidRPr="005438DA">
        <w:rPr>
          <w:lang w:val="en-US"/>
        </w:rPr>
        <w:t>Civil Aviation Authority. Civil Aviation Regulation</w:t>
      </w:r>
      <w:r>
        <w:rPr>
          <w:lang w:val="en-US"/>
        </w:rPr>
        <w:t xml:space="preserve"> </w:t>
      </w:r>
      <w:r w:rsidRPr="005438DA">
        <w:rPr>
          <w:lang w:val="en-US"/>
        </w:rPr>
        <w:t>from: https://nepalindata.com/media/resources/bulkuploaded/Civil-Aviation-Reg-2nd-eng_SEP17.pdf</w:t>
      </w:r>
    </w:p>
    <w:sectPr w:rsidR="00514611" w:rsidRPr="00A073B6">
      <w:head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1DAB" w14:textId="77777777" w:rsidR="00192DF7" w:rsidRDefault="00192DF7">
      <w:pPr>
        <w:spacing w:after="0" w:line="240" w:lineRule="auto"/>
      </w:pPr>
      <w:r>
        <w:separator/>
      </w:r>
    </w:p>
  </w:endnote>
  <w:endnote w:type="continuationSeparator" w:id="0">
    <w:p w14:paraId="52A2892B" w14:textId="77777777" w:rsidR="00192DF7" w:rsidRDefault="0019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04E1" w14:textId="77777777" w:rsidR="00192DF7" w:rsidRDefault="00192DF7">
      <w:pPr>
        <w:spacing w:after="0" w:line="240" w:lineRule="auto"/>
      </w:pPr>
      <w:r>
        <w:separator/>
      </w:r>
    </w:p>
  </w:footnote>
  <w:footnote w:type="continuationSeparator" w:id="0">
    <w:p w14:paraId="7003CB35" w14:textId="77777777" w:rsidR="00192DF7" w:rsidRDefault="00192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207A" w14:textId="77777777" w:rsidR="00514611" w:rsidRDefault="00367DD2">
    <w:pPr>
      <w:spacing w:line="276" w:lineRule="auto"/>
      <w:ind w:left="720" w:hanging="360"/>
      <w:jc w:val="center"/>
      <w:rPr>
        <w:rFonts w:ascii="Times New Roman" w:eastAsia="Times New Roman" w:hAnsi="Times New Roman" w:cs="Times New Roman"/>
        <w:b/>
        <w:color w:val="002060"/>
        <w:sz w:val="44"/>
        <w:szCs w:val="44"/>
      </w:rPr>
    </w:pPr>
    <w:r>
      <w:rPr>
        <w:rFonts w:ascii="Times New Roman" w:eastAsia="Times New Roman" w:hAnsi="Times New Roman" w:cs="Times New Roman"/>
        <w:b/>
        <w:color w:val="002060"/>
        <w:sz w:val="44"/>
        <w:szCs w:val="44"/>
      </w:rPr>
      <w:t>10</w:t>
    </w:r>
    <w:r>
      <w:rPr>
        <w:rFonts w:ascii="Times New Roman" w:eastAsia="Times New Roman" w:hAnsi="Times New Roman" w:cs="Times New Roman"/>
        <w:b/>
        <w:color w:val="002060"/>
        <w:sz w:val="44"/>
        <w:szCs w:val="44"/>
        <w:vertAlign w:val="superscript"/>
      </w:rPr>
      <w:t xml:space="preserve">th </w:t>
    </w:r>
    <w:r>
      <w:rPr>
        <w:rFonts w:ascii="Times New Roman" w:eastAsia="Times New Roman" w:hAnsi="Times New Roman" w:cs="Times New Roman"/>
        <w:b/>
        <w:color w:val="002060"/>
        <w:sz w:val="44"/>
        <w:szCs w:val="44"/>
      </w:rPr>
      <w:t>Young Scientists Summit (YSS-2025)</w:t>
    </w:r>
    <w:r>
      <w:rPr>
        <w:noProof/>
      </w:rPr>
      <w:drawing>
        <wp:anchor distT="0" distB="0" distL="114300" distR="114300" simplePos="0" relativeHeight="251658240" behindDoc="0" locked="0" layoutInCell="1" hidden="0" allowOverlap="1" wp14:anchorId="7B4B7211" wp14:editId="1863EC0A">
          <wp:simplePos x="0" y="0"/>
          <wp:positionH relativeFrom="column">
            <wp:posOffset>-390523</wp:posOffset>
          </wp:positionH>
          <wp:positionV relativeFrom="paragraph">
            <wp:posOffset>-380998</wp:posOffset>
          </wp:positionV>
          <wp:extent cx="952500" cy="9525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2500" cy="952500"/>
                  </a:xfrm>
                  <a:prstGeom prst="rect">
                    <a:avLst/>
                  </a:prstGeom>
                  <a:ln/>
                </pic:spPr>
              </pic:pic>
            </a:graphicData>
          </a:graphic>
        </wp:anchor>
      </w:drawing>
    </w:r>
  </w:p>
  <w:p w14:paraId="69F1C96D" w14:textId="77777777" w:rsidR="00514611" w:rsidRDefault="0051461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0BD"/>
    <w:multiLevelType w:val="hybridMultilevel"/>
    <w:tmpl w:val="0A76D196"/>
    <w:lvl w:ilvl="0" w:tplc="E5081A80">
      <w:start w:val="1"/>
      <w:numFmt w:val="bullet"/>
      <w:lvlText w:val="•"/>
      <w:lvlJc w:val="left"/>
      <w:pPr>
        <w:tabs>
          <w:tab w:val="num" w:pos="720"/>
        </w:tabs>
        <w:ind w:left="720" w:hanging="360"/>
      </w:pPr>
      <w:rPr>
        <w:rFonts w:ascii="Times New Roman" w:hAnsi="Times New Roman" w:hint="default"/>
      </w:rPr>
    </w:lvl>
    <w:lvl w:ilvl="1" w:tplc="F38E2F70" w:tentative="1">
      <w:start w:val="1"/>
      <w:numFmt w:val="bullet"/>
      <w:lvlText w:val="•"/>
      <w:lvlJc w:val="left"/>
      <w:pPr>
        <w:tabs>
          <w:tab w:val="num" w:pos="1440"/>
        </w:tabs>
        <w:ind w:left="1440" w:hanging="360"/>
      </w:pPr>
      <w:rPr>
        <w:rFonts w:ascii="Times New Roman" w:hAnsi="Times New Roman" w:hint="default"/>
      </w:rPr>
    </w:lvl>
    <w:lvl w:ilvl="2" w:tplc="4566E2CE" w:tentative="1">
      <w:start w:val="1"/>
      <w:numFmt w:val="bullet"/>
      <w:lvlText w:val="•"/>
      <w:lvlJc w:val="left"/>
      <w:pPr>
        <w:tabs>
          <w:tab w:val="num" w:pos="2160"/>
        </w:tabs>
        <w:ind w:left="2160" w:hanging="360"/>
      </w:pPr>
      <w:rPr>
        <w:rFonts w:ascii="Times New Roman" w:hAnsi="Times New Roman" w:hint="default"/>
      </w:rPr>
    </w:lvl>
    <w:lvl w:ilvl="3" w:tplc="94DAFCCE" w:tentative="1">
      <w:start w:val="1"/>
      <w:numFmt w:val="bullet"/>
      <w:lvlText w:val="•"/>
      <w:lvlJc w:val="left"/>
      <w:pPr>
        <w:tabs>
          <w:tab w:val="num" w:pos="2880"/>
        </w:tabs>
        <w:ind w:left="2880" w:hanging="360"/>
      </w:pPr>
      <w:rPr>
        <w:rFonts w:ascii="Times New Roman" w:hAnsi="Times New Roman" w:hint="default"/>
      </w:rPr>
    </w:lvl>
    <w:lvl w:ilvl="4" w:tplc="039242E4" w:tentative="1">
      <w:start w:val="1"/>
      <w:numFmt w:val="bullet"/>
      <w:lvlText w:val="•"/>
      <w:lvlJc w:val="left"/>
      <w:pPr>
        <w:tabs>
          <w:tab w:val="num" w:pos="3600"/>
        </w:tabs>
        <w:ind w:left="3600" w:hanging="360"/>
      </w:pPr>
      <w:rPr>
        <w:rFonts w:ascii="Times New Roman" w:hAnsi="Times New Roman" w:hint="default"/>
      </w:rPr>
    </w:lvl>
    <w:lvl w:ilvl="5" w:tplc="9A9CF6FC" w:tentative="1">
      <w:start w:val="1"/>
      <w:numFmt w:val="bullet"/>
      <w:lvlText w:val="•"/>
      <w:lvlJc w:val="left"/>
      <w:pPr>
        <w:tabs>
          <w:tab w:val="num" w:pos="4320"/>
        </w:tabs>
        <w:ind w:left="4320" w:hanging="360"/>
      </w:pPr>
      <w:rPr>
        <w:rFonts w:ascii="Times New Roman" w:hAnsi="Times New Roman" w:hint="default"/>
      </w:rPr>
    </w:lvl>
    <w:lvl w:ilvl="6" w:tplc="DEB4622A" w:tentative="1">
      <w:start w:val="1"/>
      <w:numFmt w:val="bullet"/>
      <w:lvlText w:val="•"/>
      <w:lvlJc w:val="left"/>
      <w:pPr>
        <w:tabs>
          <w:tab w:val="num" w:pos="5040"/>
        </w:tabs>
        <w:ind w:left="5040" w:hanging="360"/>
      </w:pPr>
      <w:rPr>
        <w:rFonts w:ascii="Times New Roman" w:hAnsi="Times New Roman" w:hint="default"/>
      </w:rPr>
    </w:lvl>
    <w:lvl w:ilvl="7" w:tplc="74EE43F8" w:tentative="1">
      <w:start w:val="1"/>
      <w:numFmt w:val="bullet"/>
      <w:lvlText w:val="•"/>
      <w:lvlJc w:val="left"/>
      <w:pPr>
        <w:tabs>
          <w:tab w:val="num" w:pos="5760"/>
        </w:tabs>
        <w:ind w:left="5760" w:hanging="360"/>
      </w:pPr>
      <w:rPr>
        <w:rFonts w:ascii="Times New Roman" w:hAnsi="Times New Roman" w:hint="default"/>
      </w:rPr>
    </w:lvl>
    <w:lvl w:ilvl="8" w:tplc="E912D59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E374A2"/>
    <w:multiLevelType w:val="multilevel"/>
    <w:tmpl w:val="FFFFFFFF"/>
    <w:lvl w:ilvl="0">
      <w:start w:val="1"/>
      <w:numFmt w:val="decimal"/>
      <w:lvlText w:val="%1."/>
      <w:lvlJc w:val="left"/>
      <w:pPr>
        <w:ind w:left="6930" w:hanging="360"/>
      </w:pPr>
    </w:lvl>
    <w:lvl w:ilvl="1">
      <w:start w:val="2"/>
      <w:numFmt w:val="decimal"/>
      <w:lvlText w:val="%1.%2."/>
      <w:lvlJc w:val="left"/>
      <w:pPr>
        <w:ind w:left="6960" w:hanging="390"/>
      </w:pPr>
    </w:lvl>
    <w:lvl w:ilvl="2">
      <w:start w:val="1"/>
      <w:numFmt w:val="decimal"/>
      <w:lvlText w:val="%1.%2.%3."/>
      <w:lvlJc w:val="left"/>
      <w:pPr>
        <w:ind w:left="7290" w:hanging="720"/>
      </w:pPr>
    </w:lvl>
    <w:lvl w:ilvl="3">
      <w:start w:val="1"/>
      <w:numFmt w:val="decimal"/>
      <w:lvlText w:val="%1.%2.%3.%4."/>
      <w:lvlJc w:val="left"/>
      <w:pPr>
        <w:ind w:left="7290" w:hanging="720"/>
      </w:pPr>
    </w:lvl>
    <w:lvl w:ilvl="4">
      <w:start w:val="1"/>
      <w:numFmt w:val="decimal"/>
      <w:lvlText w:val="%1.%2.%3.%4.%5."/>
      <w:lvlJc w:val="left"/>
      <w:pPr>
        <w:ind w:left="7650" w:hanging="1080"/>
      </w:pPr>
    </w:lvl>
    <w:lvl w:ilvl="5">
      <w:start w:val="1"/>
      <w:numFmt w:val="decimal"/>
      <w:lvlText w:val="%1.%2.%3.%4.%5.%6."/>
      <w:lvlJc w:val="left"/>
      <w:pPr>
        <w:ind w:left="7650" w:hanging="1080"/>
      </w:pPr>
    </w:lvl>
    <w:lvl w:ilvl="6">
      <w:start w:val="1"/>
      <w:numFmt w:val="decimal"/>
      <w:lvlText w:val="%1.%2.%3.%4.%5.%6.%7."/>
      <w:lvlJc w:val="left"/>
      <w:pPr>
        <w:ind w:left="8010" w:hanging="1440"/>
      </w:pPr>
    </w:lvl>
    <w:lvl w:ilvl="7">
      <w:start w:val="1"/>
      <w:numFmt w:val="decimal"/>
      <w:lvlText w:val="%1.%2.%3.%4.%5.%6.%7.%8."/>
      <w:lvlJc w:val="left"/>
      <w:pPr>
        <w:ind w:left="8010" w:hanging="1440"/>
      </w:pPr>
    </w:lvl>
    <w:lvl w:ilvl="8">
      <w:start w:val="1"/>
      <w:numFmt w:val="decimal"/>
      <w:lvlText w:val="%1.%2.%3.%4.%5.%6.%7.%8.%9."/>
      <w:lvlJc w:val="left"/>
      <w:pPr>
        <w:ind w:left="8370" w:hanging="1800"/>
      </w:pPr>
    </w:lvl>
  </w:abstractNum>
  <w:abstractNum w:abstractNumId="2" w15:restartNumberingAfterBreak="0">
    <w:nsid w:val="2C296812"/>
    <w:multiLevelType w:val="hybridMultilevel"/>
    <w:tmpl w:val="B1B4C3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6173EA"/>
    <w:multiLevelType w:val="hybridMultilevel"/>
    <w:tmpl w:val="AFC2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61680">
    <w:abstractNumId w:val="1"/>
  </w:num>
  <w:num w:numId="2" w16cid:durableId="304821486">
    <w:abstractNumId w:val="2"/>
  </w:num>
  <w:num w:numId="3" w16cid:durableId="784883778">
    <w:abstractNumId w:val="0"/>
  </w:num>
  <w:num w:numId="4" w16cid:durableId="499151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1"/>
    <w:rsid w:val="00192DF7"/>
    <w:rsid w:val="001A55DA"/>
    <w:rsid w:val="00230448"/>
    <w:rsid w:val="00234A30"/>
    <w:rsid w:val="00367DD2"/>
    <w:rsid w:val="00514611"/>
    <w:rsid w:val="005438DA"/>
    <w:rsid w:val="00682B9A"/>
    <w:rsid w:val="006B0AB2"/>
    <w:rsid w:val="007677FF"/>
    <w:rsid w:val="00A073B6"/>
    <w:rsid w:val="00A83F94"/>
    <w:rsid w:val="00CE76C0"/>
    <w:rsid w:val="00E80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B22C"/>
  <w15:docId w15:val="{DA99B09D-653B-A044-9ACE-34EFEE29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jc w:val="center"/>
    </w:pPr>
    <w:tblPr>
      <w:tblStyleRowBandSize w:val="1"/>
      <w:tblStyleColBandSize w:val="1"/>
      <w:tblCellMar>
        <w:left w:w="115" w:type="dxa"/>
        <w:right w:w="115" w:type="dxa"/>
      </w:tblCellMar>
    </w:tblPr>
    <w:tcPr>
      <w:shd w:val="clear" w:color="auto" w:fill="auto"/>
    </w:tcPr>
    <w:tblStylePr w:type="firstRow">
      <w:rPr>
        <w:b/>
      </w:rPr>
    </w:tblStylePr>
    <w:tblStylePr w:type="lastRow">
      <w:rPr>
        <w:b/>
      </w:rPr>
      <w:tblPr/>
      <w:tcPr>
        <w:tcBorders>
          <w:top w:val="single" w:sz="6" w:space="0" w:color="000000"/>
        </w:tcBorders>
      </w:tcPr>
    </w:tblStylePr>
    <w:tblStylePr w:type="firstCol">
      <w:rPr>
        <w:b/>
      </w:rPr>
    </w:tblStylePr>
    <w:tblStylePr w:type="lastCol">
      <w:rPr>
        <w:b/>
      </w:rPr>
    </w:tblStylePr>
  </w:style>
  <w:style w:type="paragraph" w:styleId="Header">
    <w:name w:val="header"/>
    <w:basedOn w:val="Normal"/>
    <w:link w:val="HeaderChar"/>
    <w:uiPriority w:val="99"/>
    <w:unhideWhenUsed/>
    <w:rsid w:val="00E66B0A"/>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E66B0A"/>
    <w:rPr>
      <w:szCs w:val="20"/>
    </w:rPr>
  </w:style>
  <w:style w:type="paragraph" w:styleId="Footer">
    <w:name w:val="footer"/>
    <w:basedOn w:val="Normal"/>
    <w:link w:val="FooterChar"/>
    <w:uiPriority w:val="99"/>
    <w:unhideWhenUsed/>
    <w:rsid w:val="00E66B0A"/>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E66B0A"/>
    <w:rPr>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jc w:val="center"/>
    </w:pPr>
    <w:tblPr>
      <w:tblStyleRowBandSize w:val="1"/>
      <w:tblStyleColBandSize w:val="1"/>
      <w:tblCellMar>
        <w:left w:w="115" w:type="dxa"/>
        <w:right w:w="115" w:type="dxa"/>
      </w:tblCellMar>
    </w:tblPr>
    <w:tcPr>
      <w:shd w:val="clear" w:color="auto" w:fill="auto"/>
    </w:tcPr>
    <w:tblStylePr w:type="firstRow">
      <w:rPr>
        <w:b/>
      </w:rPr>
    </w:tblStylePr>
    <w:tblStylePr w:type="lastRow">
      <w:rPr>
        <w:b/>
      </w:rPr>
      <w:tblPr/>
      <w:tcPr>
        <w:tcBorders>
          <w:top w:val="single" w:sz="6" w:space="0" w:color="000000"/>
        </w:tcBorders>
      </w:tcPr>
    </w:tblStylePr>
    <w:tblStylePr w:type="firstCol">
      <w:rPr>
        <w:b/>
      </w:rPr>
    </w:tblStylePr>
    <w:tblStylePr w:type="lastCol">
      <w:rPr>
        <w:b/>
      </w:rPr>
    </w:tblStylePr>
  </w:style>
  <w:style w:type="paragraph" w:styleId="NormalWeb">
    <w:name w:val="Normal (Web)"/>
    <w:basedOn w:val="Normal"/>
    <w:uiPriority w:val="99"/>
    <w:unhideWhenUsed/>
    <w:rsid w:val="001A55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A55DA"/>
    <w:rPr>
      <w:b/>
      <w:bCs/>
    </w:rPr>
  </w:style>
  <w:style w:type="paragraph" w:styleId="ListParagraph">
    <w:name w:val="List Paragraph"/>
    <w:basedOn w:val="Normal"/>
    <w:uiPriority w:val="34"/>
    <w:qFormat/>
    <w:rsid w:val="00234A30"/>
    <w:pPr>
      <w:ind w:left="720"/>
      <w:contextualSpacing/>
    </w:pPr>
  </w:style>
  <w:style w:type="paragraph" w:styleId="NoSpacing">
    <w:name w:val="No Spacing"/>
    <w:uiPriority w:val="1"/>
    <w:qFormat/>
    <w:rsid w:val="005438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QKOvHFNZeXSrqodtXtyoBppvg==">CgMxLjAyCGguZ2pkZ3hzOAByITFKMEgzbGZNdTNScU13U1J6RmpURzY0RmVtSGEzRENHaQ==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Sanjay Bhandari</cp:lastModifiedBy>
  <cp:revision>3</cp:revision>
  <dcterms:created xsi:type="dcterms:W3CDTF">2025-11-19T09:34:00Z</dcterms:created>
  <dcterms:modified xsi:type="dcterms:W3CDTF">2025-11-19T09:36:00Z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1f6617e4-aa4a-4eba-9c2f-4973c697d216</vt:lpwstr>
  </property>
  <property fmtid="{D5CDD505-2E9C-101B-9397-08002B2CF9AE}" pid="3" name="MSIP_Label_defa4170-0d19-0005-0003-bc88714345d2_Enabled">
    <vt:lpwstr>true</vt:lpwstr>
  </property>
  <property fmtid="{D5CDD505-2E9C-101B-9397-08002B2CF9AE}" pid="4" name="MSIP_Label_defa4170-0d19-0005-0003-bc88714345d2_SetDate">
    <vt:lpwstr>2025-11-19T09:34:13Z</vt:lpwstr>
  </property>
  <property fmtid="{D5CDD505-2E9C-101B-9397-08002B2CF9AE}" pid="5" name="MSIP_Label_defa4170-0d19-0005-0003-bc88714345d2_Method">
    <vt:lpwstr>Privileged</vt:lpwstr>
  </property>
  <property fmtid="{D5CDD505-2E9C-101B-9397-08002B2CF9AE}" pid="6" name="MSIP_Label_defa4170-0d19-0005-0003-bc88714345d2_Name">
    <vt:lpwstr>defa4170-0d19-0005-0003-bc88714345d2</vt:lpwstr>
  </property>
  <property fmtid="{D5CDD505-2E9C-101B-9397-08002B2CF9AE}" pid="7" name="MSIP_Label_defa4170-0d19-0005-0003-bc88714345d2_SiteId">
    <vt:lpwstr>e728c53d-472e-463f-b0bf-0d284186c44a</vt:lpwstr>
  </property>
  <property fmtid="{D5CDD505-2E9C-101B-9397-08002B2CF9AE}" pid="8" name="MSIP_Label_defa4170-0d19-0005-0003-bc88714345d2_ActionId">
    <vt:lpwstr>53f91281-bcd8-4603-95d0-24f16e510890</vt:lpwstr>
  </property>
  <property fmtid="{D5CDD505-2E9C-101B-9397-08002B2CF9AE}" pid="9" name="MSIP_Label_defa4170-0d19-0005-0003-bc88714345d2_ContentBits">
    <vt:lpwstr>0</vt:lpwstr>
  </property>
  <property fmtid="{D5CDD505-2E9C-101B-9397-08002B2CF9AE}" pid="10" name="MSIP_Label_defa4170-0d19-0005-0003-bc88714345d2_Tag">
    <vt:lpwstr>10, 0, 1, 1</vt:lpwstr>
  </property>
</Properties>
</file>